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331E3" w14:textId="32A18000" w:rsidR="00E95962" w:rsidRDefault="000D6883">
      <w:pPr>
        <w:spacing w:before="27"/>
        <w:ind w:left="3769" w:right="1625" w:hanging="1608"/>
        <w:jc w:val="center"/>
        <w:rPr>
          <w:sz w:val="28"/>
          <w:szCs w:val="28"/>
        </w:rPr>
      </w:pPr>
      <w:r>
        <w:rPr>
          <w:color w:val="2D74B5"/>
          <w:sz w:val="28"/>
          <w:szCs w:val="28"/>
        </w:rPr>
        <w:t xml:space="preserve">Mandat </w:t>
      </w:r>
      <w:r w:rsidR="00FA6BFC">
        <w:rPr>
          <w:color w:val="2D74B5"/>
          <w:sz w:val="28"/>
          <w:szCs w:val="28"/>
        </w:rPr>
        <w:t>de L'Arche Ontario 2019 - 2023</w:t>
      </w:r>
    </w:p>
    <w:p w14:paraId="096DCF59" w14:textId="77777777" w:rsidR="00E95962" w:rsidRDefault="00E95962">
      <w:pPr>
        <w:spacing w:before="12"/>
      </w:pPr>
    </w:p>
    <w:p w14:paraId="77C5A0B0" w14:textId="77777777" w:rsidR="00867BF5" w:rsidRPr="00A27832" w:rsidRDefault="00867BF5" w:rsidP="00867BF5">
      <w:pPr>
        <w:pStyle w:val="BodyA"/>
        <w:jc w:val="center"/>
        <w:rPr>
          <w:i/>
          <w:iCs/>
          <w:color w:val="4F81BD" w:themeColor="accent1"/>
          <w:sz w:val="28"/>
          <w:szCs w:val="28"/>
          <w:u w:color="3F6797"/>
          <w:lang w:val="fr-CA"/>
        </w:rPr>
      </w:pPr>
      <w:r w:rsidRPr="00A27832">
        <w:rPr>
          <w:i/>
          <w:iCs/>
          <w:color w:val="4F81BD" w:themeColor="accent1"/>
          <w:sz w:val="28"/>
          <w:szCs w:val="28"/>
          <w:u w:color="3F6797"/>
          <w:lang w:val="fr-CA"/>
        </w:rPr>
        <w:t>UN TEMPS POUR ACCUEILLIR LE CHANGEMENT</w:t>
      </w:r>
    </w:p>
    <w:p w14:paraId="3BE79887" w14:textId="09C55995" w:rsidR="00E95962" w:rsidRPr="00A27832" w:rsidRDefault="00867BF5" w:rsidP="00867BF5">
      <w:pPr>
        <w:pBdr>
          <w:top w:val="nil"/>
          <w:left w:val="nil"/>
          <w:bottom w:val="nil"/>
          <w:right w:val="nil"/>
          <w:between w:val="nil"/>
        </w:pBdr>
        <w:ind w:left="1609" w:right="1625"/>
        <w:jc w:val="center"/>
        <w:rPr>
          <w:i/>
          <w:color w:val="4F81BD" w:themeColor="accent1"/>
          <w:sz w:val="28"/>
          <w:szCs w:val="28"/>
        </w:rPr>
      </w:pPr>
      <w:r w:rsidRPr="00A27832">
        <w:rPr>
          <w:i/>
          <w:iCs/>
          <w:color w:val="4F81BD" w:themeColor="accent1"/>
          <w:sz w:val="28"/>
          <w:szCs w:val="28"/>
          <w:u w:color="3F6797"/>
        </w:rPr>
        <w:t>AFIN DE RELEVER LES DÉFIS D’UN MONDE EN TRANSFORMATION</w:t>
      </w:r>
      <w:r w:rsidRPr="00A27832">
        <w:rPr>
          <w:rFonts w:eastAsia="Calibri"/>
          <w:i/>
          <w:color w:val="4F81BD" w:themeColor="accent1"/>
          <w:sz w:val="28"/>
          <w:szCs w:val="28"/>
        </w:rPr>
        <w:t xml:space="preserve"> </w:t>
      </w:r>
    </w:p>
    <w:p w14:paraId="3ED335A8" w14:textId="77777777" w:rsidR="00E95962" w:rsidRDefault="00E95962">
      <w:pPr>
        <w:spacing w:before="11"/>
        <w:rPr>
          <w:i/>
        </w:rPr>
      </w:pPr>
    </w:p>
    <w:tbl>
      <w:tblPr>
        <w:tblStyle w:val="a"/>
        <w:tblW w:w="934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0"/>
        <w:gridCol w:w="6625"/>
      </w:tblGrid>
      <w:tr w:rsidR="00E95962" w14:paraId="6A064B0E" w14:textId="77777777" w:rsidTr="00D11AAF">
        <w:trPr>
          <w:trHeight w:val="11200"/>
        </w:trPr>
        <w:tc>
          <w:tcPr>
            <w:tcW w:w="2720" w:type="dxa"/>
          </w:tcPr>
          <w:p w14:paraId="47BE33DD" w14:textId="77777777" w:rsidR="00E95962" w:rsidRDefault="00FA6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6695"/>
                <w:sz w:val="24"/>
                <w:szCs w:val="24"/>
              </w:rPr>
              <w:t>CONTEXTE</w:t>
            </w:r>
          </w:p>
          <w:p w14:paraId="66D88A36" w14:textId="77777777" w:rsidR="00E95962" w:rsidRDefault="00E9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hanging="108"/>
              <w:rPr>
                <w:i/>
                <w:color w:val="000000"/>
                <w:sz w:val="23"/>
                <w:szCs w:val="23"/>
              </w:rPr>
            </w:pPr>
          </w:p>
          <w:p w14:paraId="1C3B2D29" w14:textId="58AB185F" w:rsidR="00E95962" w:rsidRDefault="00FA6BFC" w:rsidP="0073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 w:firstLine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6695"/>
                <w:sz w:val="20"/>
                <w:szCs w:val="20"/>
              </w:rPr>
              <w:t xml:space="preserve">Le </w:t>
            </w:r>
            <w:r w:rsidR="00BA345E">
              <w:rPr>
                <w:rFonts w:ascii="Times New Roman" w:eastAsia="Times New Roman" w:hAnsi="Times New Roman" w:cs="Times New Roman"/>
                <w:color w:val="3C6695"/>
                <w:sz w:val="20"/>
                <w:szCs w:val="20"/>
              </w:rPr>
              <w:t>mandat</w:t>
            </w:r>
            <w:r>
              <w:rPr>
                <w:rFonts w:ascii="Times New Roman" w:eastAsia="Times New Roman" w:hAnsi="Times New Roman" w:cs="Times New Roman"/>
                <w:color w:val="3C6695"/>
                <w:sz w:val="20"/>
                <w:szCs w:val="20"/>
              </w:rPr>
              <w:t xml:space="preserve"> de L'Arche Ontario s</w:t>
            </w:r>
            <w:r w:rsidR="00FC78BE">
              <w:rPr>
                <w:rFonts w:ascii="Times New Roman" w:eastAsia="Times New Roman" w:hAnsi="Times New Roman" w:cs="Times New Roman"/>
                <w:color w:val="3C6695"/>
                <w:sz w:val="20"/>
                <w:szCs w:val="20"/>
              </w:rPr>
              <w:t>e fonde sur les</w:t>
            </w:r>
            <w:r>
              <w:rPr>
                <w:rFonts w:ascii="Times New Roman" w:eastAsia="Times New Roman" w:hAnsi="Times New Roman" w:cs="Times New Roman"/>
                <w:color w:val="3C6695"/>
                <w:sz w:val="20"/>
                <w:szCs w:val="20"/>
              </w:rPr>
              <w:t xml:space="preserve"> principes suivants :</w:t>
            </w:r>
          </w:p>
          <w:p w14:paraId="254034D2" w14:textId="453E1FF7" w:rsidR="00E95962" w:rsidRDefault="00FA6B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182" w:hanging="164"/>
            </w:pPr>
            <w:r w:rsidRPr="003F3D04">
              <w:rPr>
                <w:rFonts w:ascii="Times New Roman" w:eastAsia="Times New Roman" w:hAnsi="Times New Roman" w:cs="Times New Roman"/>
                <w:color w:val="3C6695"/>
                <w:sz w:val="20"/>
                <w:szCs w:val="20"/>
              </w:rPr>
              <w:t>Rester fidèle</w:t>
            </w:r>
            <w:r>
              <w:rPr>
                <w:rFonts w:ascii="Times New Roman" w:eastAsia="Times New Roman" w:hAnsi="Times New Roman" w:cs="Times New Roman"/>
                <w:color w:val="3C6695"/>
                <w:sz w:val="20"/>
                <w:szCs w:val="20"/>
              </w:rPr>
              <w:t xml:space="preserve"> à notre vision sur l’inclusion et l’appartenance.</w:t>
            </w:r>
          </w:p>
          <w:p w14:paraId="2B37153C" w14:textId="6EF072AB" w:rsidR="00E95962" w:rsidRDefault="00FA6B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ind w:left="273" w:right="346" w:hanging="166"/>
            </w:pPr>
            <w:r>
              <w:rPr>
                <w:rFonts w:ascii="Times New Roman" w:eastAsia="Times New Roman" w:hAnsi="Times New Roman" w:cs="Times New Roman"/>
                <w:color w:val="3C6695"/>
                <w:sz w:val="20"/>
                <w:szCs w:val="20"/>
              </w:rPr>
              <w:t>Nous aligner sur le mandat national de L'Arche</w:t>
            </w:r>
            <w:r w:rsidR="00D11AAF">
              <w:rPr>
                <w:rFonts w:ascii="Times New Roman" w:eastAsia="Times New Roman" w:hAnsi="Times New Roman" w:cs="Times New Roman"/>
                <w:color w:val="3C6695"/>
                <w:sz w:val="20"/>
                <w:szCs w:val="20"/>
              </w:rPr>
              <w:t xml:space="preserve"> Canada</w:t>
            </w:r>
          </w:p>
          <w:p w14:paraId="7B367A6E" w14:textId="6B589F72" w:rsidR="00E95962" w:rsidRDefault="00FC7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ind w:left="273" w:right="161" w:hanging="166"/>
            </w:pPr>
            <w:r>
              <w:rPr>
                <w:rFonts w:ascii="Times New Roman" w:eastAsia="Times New Roman" w:hAnsi="Times New Roman" w:cs="Times New Roman"/>
                <w:color w:val="3C6695"/>
                <w:sz w:val="20"/>
                <w:szCs w:val="20"/>
              </w:rPr>
              <w:t>Poursuivre le travail sur les thèmes</w:t>
            </w:r>
            <w:r w:rsidR="00FA6BFC">
              <w:rPr>
                <w:rFonts w:ascii="Times New Roman" w:eastAsia="Times New Roman" w:hAnsi="Times New Roman" w:cs="Times New Roman"/>
                <w:color w:val="3C6695"/>
                <w:sz w:val="20"/>
                <w:szCs w:val="20"/>
              </w:rPr>
              <w:t xml:space="preserve"> du mandat de L'Arche Ontario (2015-19)</w:t>
            </w:r>
          </w:p>
          <w:p w14:paraId="7403D3C8" w14:textId="0BB77AFB" w:rsidR="00E95962" w:rsidRDefault="00FC7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ind w:left="273" w:right="173" w:hanging="166"/>
            </w:pPr>
            <w:r>
              <w:rPr>
                <w:rFonts w:ascii="Times New Roman" w:eastAsia="Times New Roman" w:hAnsi="Times New Roman" w:cs="Times New Roman"/>
                <w:color w:val="3C6695"/>
                <w:sz w:val="20"/>
                <w:szCs w:val="20"/>
              </w:rPr>
              <w:t>S’assurer</w:t>
            </w:r>
            <w:r w:rsidR="00FA6BFC">
              <w:rPr>
                <w:rFonts w:ascii="Times New Roman" w:eastAsia="Times New Roman" w:hAnsi="Times New Roman" w:cs="Times New Roman"/>
                <w:color w:val="3C6695"/>
                <w:sz w:val="20"/>
                <w:szCs w:val="20"/>
              </w:rPr>
              <w:t xml:space="preserve"> que L'Arche Ontario </w:t>
            </w:r>
            <w:r>
              <w:rPr>
                <w:rFonts w:ascii="Times New Roman" w:eastAsia="Times New Roman" w:hAnsi="Times New Roman" w:cs="Times New Roman"/>
                <w:color w:val="3C6695"/>
                <w:sz w:val="20"/>
                <w:szCs w:val="20"/>
              </w:rPr>
              <w:t>est bien en mesure de relever les</w:t>
            </w:r>
            <w:r w:rsidR="00FA6BFC">
              <w:rPr>
                <w:rFonts w:ascii="Times New Roman" w:eastAsia="Times New Roman" w:hAnsi="Times New Roman" w:cs="Times New Roman"/>
                <w:color w:val="3C6695"/>
                <w:sz w:val="20"/>
                <w:szCs w:val="20"/>
              </w:rPr>
              <w:t xml:space="preserve"> défis des 5 à 10 prochaines années.</w:t>
            </w:r>
          </w:p>
          <w:p w14:paraId="51E08961" w14:textId="77777777" w:rsidR="00E95962" w:rsidRDefault="00E9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hanging="108"/>
              <w:rPr>
                <w:i/>
                <w:color w:val="000000"/>
              </w:rPr>
            </w:pPr>
          </w:p>
          <w:p w14:paraId="4BDA4548" w14:textId="1C1EDF83" w:rsidR="00E95962" w:rsidRDefault="007B05E1" w:rsidP="00D11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6695"/>
                <w:sz w:val="20"/>
                <w:szCs w:val="20"/>
              </w:rPr>
              <w:t>Nous reconnaissons que nous vivons une époque de transformations importantes</w:t>
            </w:r>
            <w:r w:rsidR="00BA345E">
              <w:rPr>
                <w:rFonts w:ascii="Times New Roman" w:eastAsia="Times New Roman" w:hAnsi="Times New Roman" w:cs="Times New Roman"/>
                <w:color w:val="3C6695"/>
                <w:sz w:val="20"/>
                <w:szCs w:val="20"/>
              </w:rPr>
              <w:t>. Notre fondateur</w:t>
            </w:r>
            <w:r w:rsidR="00140927">
              <w:rPr>
                <w:rFonts w:ascii="Times New Roman" w:eastAsia="Times New Roman" w:hAnsi="Times New Roman" w:cs="Times New Roman"/>
                <w:color w:val="3C6695"/>
                <w:sz w:val="20"/>
                <w:szCs w:val="20"/>
              </w:rPr>
              <w:t>, Jean Vanier,</w:t>
            </w:r>
            <w:bookmarkStart w:id="0" w:name="_GoBack"/>
            <w:bookmarkEnd w:id="0"/>
            <w:r w:rsidR="00BA345E">
              <w:rPr>
                <w:rFonts w:ascii="Times New Roman" w:eastAsia="Times New Roman" w:hAnsi="Times New Roman" w:cs="Times New Roman"/>
                <w:color w:val="3C6695"/>
                <w:sz w:val="20"/>
                <w:szCs w:val="20"/>
              </w:rPr>
              <w:t xml:space="preserve"> est décédé.</w:t>
            </w:r>
            <w:r>
              <w:rPr>
                <w:rFonts w:ascii="Times New Roman" w:eastAsia="Times New Roman" w:hAnsi="Times New Roman" w:cs="Times New Roman"/>
                <w:color w:val="3C6695"/>
                <w:sz w:val="20"/>
                <w:szCs w:val="20"/>
              </w:rPr>
              <w:t xml:space="preserve"> </w:t>
            </w:r>
            <w:r w:rsidR="00BA345E">
              <w:rPr>
                <w:rFonts w:ascii="Times New Roman" w:eastAsia="Times New Roman" w:hAnsi="Times New Roman" w:cs="Times New Roman"/>
                <w:color w:val="3C669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C6695"/>
                <w:sz w:val="20"/>
                <w:szCs w:val="20"/>
              </w:rPr>
              <w:t>es pressions externes ont eu et continueront d’avoir un impact sur nos communautés. Nous voulons être en mesure de voir les possibilités offertes par ces transformations et y répondre avec énergie, vision, courage et créativité, d’une manière enracinée dans l’identité et la mission de L’Arche.</w:t>
            </w:r>
          </w:p>
          <w:p w14:paraId="0FA0A7F6" w14:textId="77777777" w:rsidR="00E95962" w:rsidRDefault="00E9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hanging="108"/>
              <w:rPr>
                <w:i/>
                <w:color w:val="000000"/>
              </w:rPr>
            </w:pPr>
          </w:p>
          <w:p w14:paraId="215842D0" w14:textId="2CDC8FA9" w:rsidR="00E95962" w:rsidRDefault="00FA6BFC" w:rsidP="00D11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6695"/>
                <w:sz w:val="20"/>
                <w:szCs w:val="20"/>
              </w:rPr>
              <w:t xml:space="preserve">L'Arche est un don qui nous a été confié. Nous sommes </w:t>
            </w:r>
            <w:r w:rsidR="00FC78BE">
              <w:rPr>
                <w:rFonts w:ascii="Times New Roman" w:eastAsia="Times New Roman" w:hAnsi="Times New Roman" w:cs="Times New Roman"/>
                <w:color w:val="3C6695"/>
                <w:sz w:val="20"/>
                <w:szCs w:val="20"/>
              </w:rPr>
              <w:t>collectivement</w:t>
            </w:r>
            <w:r>
              <w:rPr>
                <w:rFonts w:ascii="Times New Roman" w:eastAsia="Times New Roman" w:hAnsi="Times New Roman" w:cs="Times New Roman"/>
                <w:color w:val="3C6695"/>
                <w:sz w:val="20"/>
                <w:szCs w:val="20"/>
              </w:rPr>
              <w:t xml:space="preserve"> responsables de L'Arche et de son avenir. Ch</w:t>
            </w:r>
            <w:r w:rsidR="00FC78BE">
              <w:rPr>
                <w:rFonts w:ascii="Times New Roman" w:eastAsia="Times New Roman" w:hAnsi="Times New Roman" w:cs="Times New Roman"/>
                <w:color w:val="3C6695"/>
                <w:sz w:val="20"/>
                <w:szCs w:val="20"/>
              </w:rPr>
              <w:t xml:space="preserve">aque personne – membre de communauté, responsables nationaux, régionaux et locaux, membre de conseil d’administration, bénévoles, donateurs ou amis – </w:t>
            </w:r>
            <w:r>
              <w:rPr>
                <w:rFonts w:ascii="Times New Roman" w:eastAsia="Times New Roman" w:hAnsi="Times New Roman" w:cs="Times New Roman"/>
                <w:color w:val="3C6695"/>
                <w:sz w:val="20"/>
                <w:szCs w:val="20"/>
              </w:rPr>
              <w:t xml:space="preserve">a une contribution à apporter alors que nous nous engageons dans ce </w:t>
            </w:r>
            <w:r w:rsidR="00BA345E">
              <w:rPr>
                <w:rFonts w:ascii="Times New Roman" w:eastAsia="Times New Roman" w:hAnsi="Times New Roman" w:cs="Times New Roman"/>
                <w:color w:val="3C6695"/>
                <w:sz w:val="20"/>
                <w:szCs w:val="20"/>
              </w:rPr>
              <w:t>mandat</w:t>
            </w:r>
            <w:r>
              <w:rPr>
                <w:rFonts w:ascii="Times New Roman" w:eastAsia="Times New Roman" w:hAnsi="Times New Roman" w:cs="Times New Roman"/>
                <w:color w:val="3C6695"/>
                <w:sz w:val="20"/>
                <w:szCs w:val="20"/>
              </w:rPr>
              <w:t xml:space="preserve"> et la série d'actions qui sera élaborée par l</w:t>
            </w:r>
            <w:r w:rsidR="007B05E1">
              <w:rPr>
                <w:rFonts w:ascii="Times New Roman" w:eastAsia="Times New Roman" w:hAnsi="Times New Roman" w:cs="Times New Roman"/>
                <w:color w:val="3C6695"/>
                <w:sz w:val="20"/>
                <w:szCs w:val="20"/>
              </w:rPr>
              <w:t>es responsables et régionaux et le conseil régional</w:t>
            </w:r>
            <w:r>
              <w:rPr>
                <w:rFonts w:ascii="Times New Roman" w:eastAsia="Times New Roman" w:hAnsi="Times New Roman" w:cs="Times New Roman"/>
                <w:color w:val="3C6695"/>
                <w:sz w:val="20"/>
                <w:szCs w:val="20"/>
              </w:rPr>
              <w:t xml:space="preserve"> afin de le mettre en œuvre.</w:t>
            </w:r>
          </w:p>
        </w:tc>
        <w:tc>
          <w:tcPr>
            <w:tcW w:w="6625" w:type="dxa"/>
          </w:tcPr>
          <w:p w14:paraId="5207F31D" w14:textId="5BA1E8CC" w:rsidR="00E95962" w:rsidRPr="007B05E1" w:rsidRDefault="007B05E1" w:rsidP="007B0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29" w:left="-41" w:right="1369" w:hangingChars="101" w:hanging="243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7B05E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AVANCER EN PROFONDEUR</w:t>
            </w:r>
          </w:p>
          <w:p w14:paraId="1606794D" w14:textId="24A6360C" w:rsidR="00E95962" w:rsidRPr="007B05E1" w:rsidRDefault="007B05E1" w:rsidP="007B0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9"/>
              <w:ind w:left="108" w:right="41" w:hanging="108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7B05E1">
              <w:rPr>
                <w:rFonts w:asciiTheme="majorHAnsi" w:eastAsia="Calibri" w:hAnsiTheme="majorHAnsi" w:cstheme="majorHAnsi"/>
                <w:b/>
                <w:i/>
                <w:color w:val="000000"/>
                <w:sz w:val="20"/>
                <w:szCs w:val="20"/>
              </w:rPr>
              <w:t>Objectif </w:t>
            </w:r>
            <w:r w:rsidR="00FA6BFC" w:rsidRPr="007B05E1">
              <w:rPr>
                <w:rFonts w:asciiTheme="majorHAnsi" w:eastAsia="Calibri" w:hAnsiTheme="majorHAnsi" w:cstheme="majorHAnsi"/>
                <w:b/>
                <w:i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ajorHAnsi" w:eastAsia="Calibri" w:hAnsiTheme="majorHAnsi" w:cstheme="majorHAnsi"/>
                <w:b/>
                <w:i/>
                <w:color w:val="000000"/>
                <w:sz w:val="20"/>
                <w:szCs w:val="20"/>
              </w:rPr>
              <w:t>N</w:t>
            </w:r>
            <w:r w:rsidR="00FA6BFC" w:rsidRPr="007B05E1">
              <w:rPr>
                <w:rFonts w:asciiTheme="majorHAnsi" w:eastAsia="Calibri" w:hAnsiTheme="majorHAnsi" w:cstheme="majorHAnsi"/>
                <w:b/>
                <w:i/>
                <w:color w:val="000000"/>
                <w:sz w:val="20"/>
                <w:szCs w:val="20"/>
              </w:rPr>
              <w:t xml:space="preserve">os valeurs </w:t>
            </w:r>
            <w:r w:rsidRPr="007B05E1">
              <w:rPr>
                <w:rFonts w:asciiTheme="majorHAnsi" w:eastAsia="Calibri" w:hAnsiTheme="majorHAnsi" w:cstheme="majorHAnsi"/>
                <w:b/>
                <w:i/>
                <w:color w:val="000000"/>
                <w:sz w:val="20"/>
                <w:szCs w:val="20"/>
              </w:rPr>
              <w:t xml:space="preserve">fondamentales </w:t>
            </w:r>
            <w:r w:rsidR="00FA6BFC" w:rsidRPr="007B05E1">
              <w:rPr>
                <w:rFonts w:asciiTheme="majorHAnsi" w:eastAsia="Calibri" w:hAnsiTheme="majorHAnsi" w:cstheme="majorHAnsi"/>
                <w:b/>
                <w:i/>
                <w:color w:val="000000"/>
                <w:sz w:val="20"/>
                <w:szCs w:val="20"/>
              </w:rPr>
              <w:t xml:space="preserve">et notre spiritualité </w:t>
            </w:r>
            <w:r>
              <w:rPr>
                <w:rFonts w:asciiTheme="majorHAnsi" w:eastAsia="Calibri" w:hAnsiTheme="majorHAnsi" w:cstheme="majorHAnsi"/>
                <w:b/>
                <w:i/>
                <w:color w:val="000000"/>
                <w:sz w:val="20"/>
                <w:szCs w:val="20"/>
              </w:rPr>
              <w:t xml:space="preserve">sont intégrées </w:t>
            </w:r>
            <w:r w:rsidR="00FA6BFC" w:rsidRPr="007B05E1">
              <w:rPr>
                <w:rFonts w:asciiTheme="majorHAnsi" w:eastAsia="Calibri" w:hAnsiTheme="majorHAnsi" w:cstheme="majorHAnsi"/>
                <w:b/>
                <w:i/>
                <w:color w:val="000000"/>
                <w:sz w:val="20"/>
                <w:szCs w:val="20"/>
              </w:rPr>
              <w:t>dans tout ce que nous entreprenons.</w:t>
            </w:r>
          </w:p>
          <w:p w14:paraId="116849AE" w14:textId="77777777" w:rsidR="00E95962" w:rsidRPr="007B05E1" w:rsidRDefault="00E9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hanging="108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  <w:p w14:paraId="68DF4F5B" w14:textId="1E551F88" w:rsidR="00E95962" w:rsidRPr="007B05E1" w:rsidRDefault="00FA6BFC" w:rsidP="007B0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Chars="50" w:left="110" w:firstLineChars="50" w:firstLine="10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7B05E1">
              <w:rPr>
                <w:rFonts w:asciiTheme="majorHAnsi" w:eastAsia="Calibri" w:hAnsiTheme="majorHAnsi" w:cstheme="majorHAnsi"/>
                <w:b/>
                <w:i/>
                <w:color w:val="000000"/>
                <w:sz w:val="20"/>
                <w:szCs w:val="20"/>
              </w:rPr>
              <w:t>Stratégie</w:t>
            </w:r>
          </w:p>
          <w:p w14:paraId="59F44A45" w14:textId="06EB9A21" w:rsidR="00E95962" w:rsidRPr="00BA345E" w:rsidRDefault="00FA6B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spacing w:line="242" w:lineRule="auto"/>
              <w:ind w:right="279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B05E1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In</w:t>
            </w:r>
            <w:r w:rsidR="007B05E1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vestir dans le</w:t>
            </w:r>
            <w:r w:rsidRPr="007B05E1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leadership de service </w:t>
            </w:r>
            <w:r w:rsidR="007B05E1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dans nos efforts de développement du leadership, de formation et d’inclusion de tous les membres.</w:t>
            </w:r>
          </w:p>
          <w:p w14:paraId="0145256B" w14:textId="7A805252" w:rsidR="00BA345E" w:rsidRDefault="00BA345E" w:rsidP="00BA34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spacing w:line="242" w:lineRule="auto"/>
              <w:ind w:right="279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méliorer la formation, ancrée dans nos valeurs fondamentales, y compris notre spiritualité, pour tous nos membres.</w:t>
            </w:r>
          </w:p>
          <w:p w14:paraId="70FECB0C" w14:textId="361DA91A" w:rsidR="00BA345E" w:rsidRPr="00BA345E" w:rsidRDefault="00BA345E" w:rsidP="00BA34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spacing w:line="242" w:lineRule="auto"/>
              <w:ind w:right="279" w:firstLine="0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Analyser et évaluer</w:t>
            </w:r>
            <w:r w:rsidR="00FA6BFC" w:rsidRPr="00BA345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les rôles de leadership aux niveaux régional et communautaire</w:t>
            </w:r>
            <w:r w:rsidR="007B05E1" w:rsidRPr="00BA345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, en mettant l’emphase sur le partage de ressources.</w:t>
            </w:r>
          </w:p>
          <w:p w14:paraId="28DE2278" w14:textId="747CC0D6" w:rsidR="00E95962" w:rsidRPr="007B05E1" w:rsidRDefault="00FA6BFC" w:rsidP="00BA34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spacing w:line="242" w:lineRule="auto"/>
              <w:ind w:right="279" w:firstLine="0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7B05E1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S'assurer que toutes les facettes des activités de L'Arche reflètent nos valeurs fondamentales, y compris le respect de la dignité de tous nos membres.</w:t>
            </w:r>
          </w:p>
          <w:p w14:paraId="6CDD155B" w14:textId="77777777" w:rsidR="00E95962" w:rsidRPr="007B05E1" w:rsidRDefault="00E9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hanging="108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  <w:p w14:paraId="7459D63B" w14:textId="77777777" w:rsidR="007B05E1" w:rsidRPr="007B05E1" w:rsidRDefault="007B05E1" w:rsidP="007B0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1" w:hanging="108"/>
              <w:jc w:val="center"/>
              <w:rPr>
                <w:rFonts w:asciiTheme="majorHAnsi" w:eastAsia="Calibri" w:hAnsiTheme="majorHAnsi" w:cs="Calibri (Headings)"/>
                <w:b/>
                <w:caps/>
                <w:color w:val="000000"/>
                <w:sz w:val="20"/>
                <w:szCs w:val="20"/>
              </w:rPr>
            </w:pPr>
            <w:r w:rsidRPr="007B05E1">
              <w:rPr>
                <w:rFonts w:asciiTheme="majorHAnsi" w:eastAsia="Calibri" w:hAnsiTheme="majorHAnsi" w:cs="Calibri (Headings)"/>
                <w:b/>
                <w:caps/>
                <w:color w:val="000000"/>
                <w:sz w:val="20"/>
                <w:szCs w:val="20"/>
              </w:rPr>
              <w:t>A</w:t>
            </w:r>
            <w:r w:rsidR="00FA6BFC" w:rsidRPr="007B05E1">
              <w:rPr>
                <w:rFonts w:asciiTheme="majorHAnsi" w:eastAsia="Calibri" w:hAnsiTheme="majorHAnsi" w:cs="Calibri (Headings)"/>
                <w:b/>
                <w:caps/>
                <w:color w:val="000000"/>
                <w:sz w:val="20"/>
                <w:szCs w:val="20"/>
              </w:rPr>
              <w:t>vancer vers l’extérieur </w:t>
            </w:r>
          </w:p>
          <w:p w14:paraId="78893400" w14:textId="1966F11D" w:rsidR="00E95962" w:rsidRPr="007B05E1" w:rsidRDefault="007B05E1" w:rsidP="007B0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1" w:hanging="108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7B05E1">
              <w:rPr>
                <w:rFonts w:asciiTheme="majorHAnsi" w:eastAsia="Calibri" w:hAnsiTheme="majorHAnsi" w:cstheme="majorHAnsi"/>
                <w:b/>
                <w:i/>
                <w:color w:val="000000"/>
                <w:sz w:val="20"/>
                <w:szCs w:val="20"/>
              </w:rPr>
              <w:t xml:space="preserve">Objectif : </w:t>
            </w:r>
            <w:r w:rsidR="00D11AAF">
              <w:rPr>
                <w:rFonts w:asciiTheme="majorHAnsi" w:eastAsia="Calibri" w:hAnsiTheme="majorHAnsi" w:cstheme="majorHAnsi"/>
                <w:b/>
                <w:i/>
                <w:color w:val="000000"/>
                <w:sz w:val="20"/>
                <w:szCs w:val="20"/>
              </w:rPr>
              <w:t>Nous sommes</w:t>
            </w:r>
            <w:r w:rsidRPr="007B05E1">
              <w:rPr>
                <w:rFonts w:asciiTheme="majorHAnsi" w:eastAsia="Calibri" w:hAnsiTheme="majorHAnsi" w:cstheme="majorHAnsi"/>
                <w:b/>
                <w:i/>
                <w:color w:val="000000"/>
                <w:sz w:val="20"/>
                <w:szCs w:val="20"/>
              </w:rPr>
              <w:t xml:space="preserve"> un porte-parole clair et efficace en soutien à l’inclusion et à l’appartenance en Ontario.</w:t>
            </w:r>
          </w:p>
          <w:p w14:paraId="429CCC3A" w14:textId="259DDD62" w:rsidR="00E95962" w:rsidRPr="007B05E1" w:rsidRDefault="00FA6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hanging="108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7B05E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 xml:space="preserve">  </w:t>
            </w:r>
          </w:p>
          <w:p w14:paraId="14539A06" w14:textId="5D44A56E" w:rsidR="00E95962" w:rsidRPr="007B05E1" w:rsidRDefault="00FA6BFC" w:rsidP="007B0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Chars="50" w:left="110" w:firstLineChars="50" w:firstLine="10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7B05E1">
              <w:rPr>
                <w:rFonts w:asciiTheme="majorHAnsi" w:eastAsia="Calibri" w:hAnsiTheme="majorHAnsi" w:cstheme="majorHAnsi"/>
                <w:b/>
                <w:i/>
                <w:color w:val="000000"/>
                <w:sz w:val="20"/>
                <w:szCs w:val="20"/>
              </w:rPr>
              <w:t>Stratégie</w:t>
            </w:r>
          </w:p>
          <w:p w14:paraId="6648A08F" w14:textId="7D066826" w:rsidR="00E95962" w:rsidRPr="00FC78BE" w:rsidRDefault="007B05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spacing w:line="242" w:lineRule="auto"/>
              <w:ind w:right="256" w:firstLine="0"/>
              <w:rPr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</w:t>
            </w:r>
            <w:r w:rsidR="00FA6BFC" w:rsidRPr="007B05E1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outenir la croissance</w:t>
            </w: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innovante</w:t>
            </w:r>
            <w:r w:rsidR="00FA6BFC" w:rsidRPr="007B05E1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d</w:t>
            </w: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ans nos</w:t>
            </w:r>
            <w:r w:rsidR="00FA6BFC" w:rsidRPr="007B05E1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communautés</w:t>
            </w: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locales</w:t>
            </w:r>
            <w:r w:rsidR="00FA6BFC" w:rsidRPr="007B05E1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et explorer de nouveaux modèles pour vivre la </w:t>
            </w: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</w:t>
            </w:r>
            <w:r w:rsidR="00FA6BFC" w:rsidRPr="007B05E1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ission et l</w:t>
            </w:r>
            <w:r w:rsidR="00FA6BFC" w:rsidRPr="00FC78BE">
              <w:rPr>
                <w:rFonts w:eastAsia="Calibri"/>
                <w:color w:val="000000"/>
                <w:sz w:val="20"/>
                <w:szCs w:val="20"/>
              </w:rPr>
              <w:t>’</w:t>
            </w:r>
            <w:r>
              <w:rPr>
                <w:rFonts w:eastAsia="Calibri"/>
                <w:color w:val="000000"/>
                <w:sz w:val="20"/>
                <w:szCs w:val="20"/>
              </w:rPr>
              <w:t>i</w:t>
            </w:r>
            <w:r w:rsidR="00FA6BFC" w:rsidRPr="00FC78BE">
              <w:rPr>
                <w:rFonts w:eastAsia="Calibri"/>
                <w:color w:val="000000"/>
                <w:sz w:val="20"/>
                <w:szCs w:val="20"/>
              </w:rPr>
              <w:t>dentité de L’Arche dans une région de l'Ontario en transformation.</w:t>
            </w:r>
          </w:p>
          <w:p w14:paraId="0B4479A0" w14:textId="4274616F" w:rsidR="00E95962" w:rsidRDefault="00FA6B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ind w:right="375" w:firstLine="0"/>
              <w:rPr>
                <w:color w:val="000000"/>
              </w:rPr>
            </w:pPr>
            <w:r w:rsidRPr="00FC78BE">
              <w:rPr>
                <w:rFonts w:eastAsia="Calibri"/>
                <w:color w:val="000000"/>
                <w:sz w:val="20"/>
                <w:szCs w:val="20"/>
              </w:rPr>
              <w:t>Établir des p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artenariats dynamiques </w:t>
            </w:r>
            <w:r w:rsidR="00BA345E">
              <w:rPr>
                <w:rFonts w:eastAsia="Calibri"/>
                <w:color w:val="000000"/>
                <w:sz w:val="20"/>
                <w:szCs w:val="20"/>
              </w:rPr>
              <w:t xml:space="preserve">et des relations </w:t>
            </w:r>
            <w:proofErr w:type="spellStart"/>
            <w:r w:rsidR="00BA345E">
              <w:rPr>
                <w:rFonts w:eastAsia="Calibri"/>
                <w:color w:val="000000"/>
                <w:sz w:val="20"/>
                <w:szCs w:val="20"/>
              </w:rPr>
              <w:t>proactivement</w:t>
            </w:r>
            <w:proofErr w:type="spellEnd"/>
            <w:r w:rsidR="00BA345E">
              <w:rPr>
                <w:rFonts w:eastAsia="Calibri"/>
                <w:color w:val="000000"/>
                <w:sz w:val="20"/>
                <w:szCs w:val="20"/>
              </w:rPr>
              <w:t xml:space="preserve"> ciblées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avec tous les niveaux de gouvernement et avec d'autres organisations afin </w:t>
            </w:r>
            <w:r w:rsidR="00D11AAF">
              <w:rPr>
                <w:rFonts w:eastAsia="Calibri"/>
                <w:color w:val="000000"/>
                <w:sz w:val="20"/>
                <w:szCs w:val="20"/>
              </w:rPr>
              <w:t xml:space="preserve">de </w:t>
            </w:r>
            <w:r>
              <w:rPr>
                <w:rFonts w:eastAsia="Calibri"/>
                <w:color w:val="000000"/>
                <w:sz w:val="20"/>
                <w:szCs w:val="20"/>
              </w:rPr>
              <w:t>promouvoir la contribution des personnes ayant une déficience intellectuelle et développer une compréhension de leurs besoins.</w:t>
            </w:r>
          </w:p>
          <w:p w14:paraId="5CFAA346" w14:textId="2EEF88FC" w:rsidR="00E95962" w:rsidRPr="008802FE" w:rsidRDefault="00BA34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ind w:right="159" w:firstLine="0"/>
              <w:rPr>
                <w:color w:val="000000"/>
              </w:rPr>
            </w:pPr>
            <w:r w:rsidRPr="008802FE">
              <w:rPr>
                <w:rFonts w:eastAsia="Calibri"/>
                <w:color w:val="000000"/>
                <w:sz w:val="20"/>
                <w:szCs w:val="20"/>
              </w:rPr>
              <w:t>Travailler</w:t>
            </w:r>
            <w:r w:rsidR="00FA6BFC" w:rsidRPr="008802FE">
              <w:rPr>
                <w:rFonts w:eastAsia="Calibri"/>
                <w:color w:val="000000"/>
                <w:sz w:val="20"/>
                <w:szCs w:val="20"/>
              </w:rPr>
              <w:t xml:space="preserve"> de façon collaborative</w:t>
            </w:r>
            <w:r w:rsidRPr="008802FE">
              <w:rPr>
                <w:rFonts w:eastAsia="Calibri"/>
                <w:color w:val="000000"/>
                <w:sz w:val="20"/>
                <w:szCs w:val="20"/>
              </w:rPr>
              <w:t xml:space="preserve"> pour accroître la capacité de collecte de fonds via une compréhension commune de sa raison d’être</w:t>
            </w:r>
          </w:p>
          <w:p w14:paraId="1409A2CF" w14:textId="1882F0B2" w:rsidR="00E95962" w:rsidRPr="003F3D04" w:rsidRDefault="00FA6BFC" w:rsidP="003F3D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ind w:right="340" w:hanging="108"/>
              <w:rPr>
                <w:i/>
                <w:color w:val="000000"/>
                <w:sz w:val="20"/>
                <w:szCs w:val="20"/>
              </w:rPr>
            </w:pPr>
            <w:r w:rsidRPr="003F3D04">
              <w:rPr>
                <w:rFonts w:eastAsia="Calibri"/>
                <w:color w:val="000000"/>
                <w:sz w:val="20"/>
                <w:szCs w:val="20"/>
              </w:rPr>
              <w:t>Utiliser l’écrit, la création, les médias sociaux, les nouvelles technologies et d'autres moyens novateurs</w:t>
            </w:r>
            <w:r w:rsidR="00E52E16">
              <w:rPr>
                <w:rFonts w:eastAsia="Calibri"/>
                <w:color w:val="000000"/>
                <w:sz w:val="20"/>
                <w:szCs w:val="20"/>
              </w:rPr>
              <w:t>, accessible</w:t>
            </w:r>
            <w:r w:rsidR="00CB5B6D">
              <w:rPr>
                <w:rFonts w:eastAsia="Calibri"/>
                <w:color w:val="000000"/>
                <w:sz w:val="20"/>
                <w:szCs w:val="20"/>
              </w:rPr>
              <w:t>s</w:t>
            </w:r>
            <w:r w:rsidR="00E52E16">
              <w:rPr>
                <w:rFonts w:eastAsia="Calibri"/>
                <w:color w:val="000000"/>
                <w:sz w:val="20"/>
                <w:szCs w:val="20"/>
              </w:rPr>
              <w:t xml:space="preserve"> et inclusi</w:t>
            </w:r>
            <w:r w:rsidR="00CB5B6D">
              <w:rPr>
                <w:rFonts w:eastAsia="Calibri"/>
                <w:color w:val="000000"/>
                <w:sz w:val="20"/>
                <w:szCs w:val="20"/>
              </w:rPr>
              <w:t>fs</w:t>
            </w:r>
            <w:r w:rsidRPr="003F3D04">
              <w:rPr>
                <w:rFonts w:eastAsia="Calibri"/>
                <w:color w:val="000000"/>
                <w:sz w:val="20"/>
                <w:szCs w:val="20"/>
              </w:rPr>
              <w:t xml:space="preserve"> pour promouvoir les valeurs d’égalité, d’intégration et d’inclusion pour </w:t>
            </w:r>
            <w:r w:rsidR="00FC78BE" w:rsidRPr="003F3D04">
              <w:rPr>
                <w:rFonts w:eastAsia="Calibri"/>
                <w:color w:val="000000"/>
                <w:sz w:val="20"/>
                <w:szCs w:val="20"/>
              </w:rPr>
              <w:t>tou</w:t>
            </w:r>
            <w:r w:rsidR="00BA345E">
              <w:rPr>
                <w:rFonts w:eastAsia="Calibri"/>
                <w:color w:val="000000"/>
                <w:sz w:val="20"/>
                <w:szCs w:val="20"/>
              </w:rPr>
              <w:t>s dans nos communautés.</w:t>
            </w:r>
          </w:p>
          <w:p w14:paraId="50B78A6F" w14:textId="77777777" w:rsidR="00E95962" w:rsidRDefault="00E9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hanging="108"/>
              <w:rPr>
                <w:i/>
                <w:color w:val="000000"/>
                <w:sz w:val="17"/>
                <w:szCs w:val="17"/>
              </w:rPr>
            </w:pPr>
          </w:p>
          <w:p w14:paraId="75608673" w14:textId="46275F70" w:rsidR="007B05E1" w:rsidRPr="007B05E1" w:rsidRDefault="007B05E1" w:rsidP="007B0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jc w:val="center"/>
              <w:rPr>
                <w:rFonts w:eastAsia="Calibri"/>
                <w:b/>
                <w:caps/>
                <w:color w:val="000000"/>
                <w:sz w:val="20"/>
                <w:szCs w:val="20"/>
              </w:rPr>
            </w:pPr>
            <w:r w:rsidRPr="007B05E1">
              <w:rPr>
                <w:rFonts w:eastAsia="Calibri"/>
                <w:b/>
                <w:caps/>
                <w:color w:val="000000"/>
                <w:sz w:val="20"/>
                <w:szCs w:val="20"/>
              </w:rPr>
              <w:t>A</w:t>
            </w:r>
            <w:r w:rsidR="00FA6BFC" w:rsidRPr="007B05E1">
              <w:rPr>
                <w:rFonts w:eastAsia="Calibri"/>
                <w:b/>
                <w:caps/>
                <w:color w:val="000000"/>
                <w:sz w:val="20"/>
                <w:szCs w:val="20"/>
              </w:rPr>
              <w:t>vancer à l’intérieur</w:t>
            </w:r>
          </w:p>
          <w:p w14:paraId="2C4696BF" w14:textId="34E254DB" w:rsidR="00E95962" w:rsidRPr="007B05E1" w:rsidRDefault="007B05E1" w:rsidP="007B0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B05E1">
              <w:rPr>
                <w:rFonts w:eastAsia="Calibri"/>
                <w:b/>
                <w:i/>
                <w:color w:val="000000"/>
                <w:sz w:val="20"/>
                <w:szCs w:val="20"/>
              </w:rPr>
              <w:t xml:space="preserve">Objectif : Notre </w:t>
            </w:r>
            <w:r w:rsidR="00FA6BFC" w:rsidRPr="007B05E1">
              <w:rPr>
                <w:rFonts w:eastAsia="Calibri"/>
                <w:b/>
                <w:i/>
                <w:color w:val="000000"/>
                <w:sz w:val="20"/>
                <w:szCs w:val="20"/>
              </w:rPr>
              <w:t xml:space="preserve">structure régionale </w:t>
            </w:r>
            <w:r w:rsidRPr="007B05E1">
              <w:rPr>
                <w:rFonts w:eastAsia="Calibri"/>
                <w:b/>
                <w:i/>
                <w:color w:val="000000"/>
                <w:sz w:val="20"/>
                <w:szCs w:val="20"/>
              </w:rPr>
              <w:t xml:space="preserve">est </w:t>
            </w:r>
            <w:r w:rsidR="00FA6BFC" w:rsidRPr="007B05E1">
              <w:rPr>
                <w:rFonts w:eastAsia="Calibri"/>
                <w:b/>
                <w:i/>
                <w:color w:val="000000"/>
                <w:sz w:val="20"/>
                <w:szCs w:val="20"/>
              </w:rPr>
              <w:t>vigoureuse</w:t>
            </w:r>
            <w:r w:rsidRPr="007B05E1">
              <w:rPr>
                <w:rFonts w:eastAsia="Calibri"/>
                <w:b/>
                <w:i/>
                <w:color w:val="000000"/>
                <w:sz w:val="20"/>
                <w:szCs w:val="20"/>
              </w:rPr>
              <w:t>, elle s’intègre au travail de L’Arche Canada et soutien</w:t>
            </w:r>
            <w:r w:rsidR="00D11AAF">
              <w:rPr>
                <w:rFonts w:eastAsia="Calibri"/>
                <w:b/>
                <w:i/>
                <w:color w:val="000000"/>
                <w:sz w:val="20"/>
                <w:szCs w:val="20"/>
              </w:rPr>
              <w:t>t</w:t>
            </w:r>
            <w:r w:rsidRPr="007B05E1">
              <w:rPr>
                <w:rFonts w:eastAsia="Calibri"/>
                <w:b/>
                <w:i/>
                <w:color w:val="000000"/>
                <w:sz w:val="20"/>
                <w:szCs w:val="20"/>
              </w:rPr>
              <w:t xml:space="preserve"> une vie enrichissante dans chacun</w:t>
            </w:r>
            <w:r w:rsidR="00D11AAF">
              <w:rPr>
                <w:rFonts w:eastAsia="Calibri"/>
                <w:b/>
                <w:i/>
                <w:color w:val="000000"/>
                <w:sz w:val="20"/>
                <w:szCs w:val="20"/>
              </w:rPr>
              <w:t>e</w:t>
            </w:r>
            <w:r w:rsidRPr="007B05E1">
              <w:rPr>
                <w:rFonts w:eastAsia="Calibri"/>
                <w:b/>
                <w:i/>
                <w:color w:val="000000"/>
                <w:sz w:val="20"/>
                <w:szCs w:val="20"/>
              </w:rPr>
              <w:t xml:space="preserve"> de nos communautés.</w:t>
            </w:r>
          </w:p>
          <w:p w14:paraId="2B11EFBC" w14:textId="77777777" w:rsidR="00E95962" w:rsidRDefault="00E9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hanging="108"/>
              <w:rPr>
                <w:i/>
                <w:color w:val="000000"/>
                <w:sz w:val="20"/>
                <w:szCs w:val="20"/>
              </w:rPr>
            </w:pPr>
          </w:p>
          <w:p w14:paraId="6A26CAAC" w14:textId="6CFCD96A" w:rsidR="00E95962" w:rsidRPr="007B05E1" w:rsidRDefault="00FA6BFC" w:rsidP="007B0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Chars="50" w:left="110" w:firstLineChars="50" w:firstLine="10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B05E1">
              <w:rPr>
                <w:b/>
                <w:i/>
                <w:sz w:val="20"/>
                <w:szCs w:val="20"/>
              </w:rPr>
              <w:t>Stratégie</w:t>
            </w:r>
          </w:p>
          <w:p w14:paraId="6D3A1E58" w14:textId="726EA912" w:rsidR="00E95962" w:rsidRDefault="00FA6B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ind w:right="140" w:firstLine="0"/>
              <w:rPr>
                <w:color w:val="00000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Réviser</w:t>
            </w:r>
            <w:r w:rsidR="00BA345E">
              <w:rPr>
                <w:rFonts w:eastAsia="Calibri"/>
                <w:color w:val="000000"/>
                <w:sz w:val="20"/>
                <w:szCs w:val="20"/>
              </w:rPr>
              <w:t xml:space="preserve"> et réaligner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la structure régionale de L’Arche Ontario, ses processus et s</w:t>
            </w:r>
            <w:r w:rsidR="00F56ABA">
              <w:rPr>
                <w:rFonts w:eastAsia="Calibri"/>
                <w:color w:val="000000"/>
                <w:sz w:val="20"/>
                <w:szCs w:val="20"/>
              </w:rPr>
              <w:t>a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communication pour s'assurer que tous les niveaux de l’organisation puissent répondre efficacement aux défis actuels et futurs.</w:t>
            </w:r>
          </w:p>
          <w:p w14:paraId="69AB0B74" w14:textId="39771944" w:rsidR="00E95962" w:rsidRDefault="00FA6B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spacing w:before="2"/>
              <w:ind w:right="124" w:firstLine="0"/>
              <w:rPr>
                <w:color w:val="00000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Établir un équilibre entre les avantages de fonctions centralisées et de politiques et processus communs, et les forces et besoins particuliers des communautés.</w:t>
            </w:r>
          </w:p>
          <w:p w14:paraId="61E35A26" w14:textId="7F3708C2" w:rsidR="00E95962" w:rsidRDefault="00FA6B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ind w:right="274" w:firstLine="0"/>
              <w:rPr>
                <w:color w:val="000000"/>
              </w:rPr>
            </w:pPr>
            <w:r w:rsidRPr="0023006C">
              <w:rPr>
                <w:rFonts w:eastAsia="Calibri"/>
                <w:color w:val="000000"/>
                <w:sz w:val="20"/>
                <w:szCs w:val="20"/>
              </w:rPr>
              <w:t>Clarifier et renforcer les relations entre</w:t>
            </w:r>
            <w:r w:rsidR="00BA345E" w:rsidRPr="0023006C">
              <w:rPr>
                <w:rFonts w:eastAsia="Calibri"/>
                <w:color w:val="000000"/>
                <w:sz w:val="20"/>
                <w:szCs w:val="20"/>
              </w:rPr>
              <w:t xml:space="preserve"> les communautés de la région</w:t>
            </w:r>
            <w:r w:rsidR="00503A84" w:rsidRPr="0023006C">
              <w:rPr>
                <w:rFonts w:eastAsia="Calibri"/>
                <w:color w:val="000000"/>
                <w:sz w:val="20"/>
                <w:szCs w:val="20"/>
              </w:rPr>
              <w:t xml:space="preserve"> et</w:t>
            </w:r>
            <w:r w:rsidRPr="0023006C">
              <w:rPr>
                <w:rFonts w:eastAsia="Calibri"/>
                <w:color w:val="000000"/>
                <w:sz w:val="20"/>
                <w:szCs w:val="20"/>
              </w:rPr>
              <w:t xml:space="preserve"> L’Arche Canada, de même qu’avec la Fondation L’Arche Canada (FLC) et L’Arche </w:t>
            </w:r>
            <w:r w:rsidR="00F06105" w:rsidRPr="0023006C">
              <w:rPr>
                <w:rFonts w:eastAsia="Calibri"/>
                <w:color w:val="000000"/>
                <w:sz w:val="20"/>
                <w:szCs w:val="20"/>
              </w:rPr>
              <w:t>i</w:t>
            </w:r>
            <w:r w:rsidRPr="0023006C">
              <w:rPr>
                <w:rFonts w:eastAsia="Calibri"/>
                <w:color w:val="000000"/>
                <w:sz w:val="20"/>
                <w:szCs w:val="20"/>
              </w:rPr>
              <w:t>nternational</w:t>
            </w:r>
            <w:r w:rsidR="00F06105" w:rsidRPr="0023006C">
              <w:rPr>
                <w:rFonts w:eastAsia="Calibri"/>
                <w:color w:val="000000"/>
                <w:sz w:val="20"/>
                <w:szCs w:val="20"/>
              </w:rPr>
              <w:t>e</w:t>
            </w:r>
            <w:r w:rsidR="00F56ABA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</w:tr>
    </w:tbl>
    <w:p w14:paraId="0E7A3D78" w14:textId="77777777" w:rsidR="00E95962" w:rsidRDefault="00FA6BFC">
      <w:pPr>
        <w:ind w:right="11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20180823</w:t>
      </w:r>
    </w:p>
    <w:sectPr w:rsidR="00E95962">
      <w:pgSz w:w="12240" w:h="15840"/>
      <w:pgMar w:top="680" w:right="132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(Headings)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4D63"/>
    <w:multiLevelType w:val="multilevel"/>
    <w:tmpl w:val="0E2CF5DC"/>
    <w:lvl w:ilvl="0">
      <w:start w:val="1"/>
      <w:numFmt w:val="bullet"/>
      <w:lvlText w:val="•"/>
      <w:lvlJc w:val="left"/>
      <w:pPr>
        <w:ind w:left="108" w:hanging="12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698" w:hanging="125"/>
      </w:pPr>
    </w:lvl>
    <w:lvl w:ilvl="2">
      <w:start w:val="1"/>
      <w:numFmt w:val="bullet"/>
      <w:lvlText w:val="•"/>
      <w:lvlJc w:val="left"/>
      <w:pPr>
        <w:ind w:left="1296" w:hanging="125"/>
      </w:pPr>
    </w:lvl>
    <w:lvl w:ilvl="3">
      <w:start w:val="1"/>
      <w:numFmt w:val="bullet"/>
      <w:lvlText w:val="•"/>
      <w:lvlJc w:val="left"/>
      <w:pPr>
        <w:ind w:left="1895" w:hanging="125"/>
      </w:pPr>
    </w:lvl>
    <w:lvl w:ilvl="4">
      <w:start w:val="1"/>
      <w:numFmt w:val="bullet"/>
      <w:lvlText w:val="•"/>
      <w:lvlJc w:val="left"/>
      <w:pPr>
        <w:ind w:left="2493" w:hanging="125"/>
      </w:pPr>
    </w:lvl>
    <w:lvl w:ilvl="5">
      <w:start w:val="1"/>
      <w:numFmt w:val="bullet"/>
      <w:lvlText w:val="•"/>
      <w:lvlJc w:val="left"/>
      <w:pPr>
        <w:ind w:left="3092" w:hanging="125"/>
      </w:pPr>
    </w:lvl>
    <w:lvl w:ilvl="6">
      <w:start w:val="1"/>
      <w:numFmt w:val="bullet"/>
      <w:lvlText w:val="•"/>
      <w:lvlJc w:val="left"/>
      <w:pPr>
        <w:ind w:left="3690" w:hanging="125"/>
      </w:pPr>
    </w:lvl>
    <w:lvl w:ilvl="7">
      <w:start w:val="1"/>
      <w:numFmt w:val="bullet"/>
      <w:lvlText w:val="•"/>
      <w:lvlJc w:val="left"/>
      <w:pPr>
        <w:ind w:left="4288" w:hanging="125"/>
      </w:pPr>
    </w:lvl>
    <w:lvl w:ilvl="8">
      <w:start w:val="1"/>
      <w:numFmt w:val="bullet"/>
      <w:lvlText w:val="•"/>
      <w:lvlJc w:val="left"/>
      <w:pPr>
        <w:ind w:left="4887" w:hanging="125"/>
      </w:pPr>
    </w:lvl>
  </w:abstractNum>
  <w:abstractNum w:abstractNumId="1" w15:restartNumberingAfterBreak="0">
    <w:nsid w:val="46B962D6"/>
    <w:multiLevelType w:val="multilevel"/>
    <w:tmpl w:val="F8768F50"/>
    <w:lvl w:ilvl="0">
      <w:start w:val="1"/>
      <w:numFmt w:val="bullet"/>
      <w:lvlText w:val="●"/>
      <w:lvlJc w:val="left"/>
      <w:pPr>
        <w:ind w:left="271" w:hanging="163"/>
      </w:pPr>
      <w:rPr>
        <w:rFonts w:ascii="Noto Sans Symbols" w:eastAsia="Noto Sans Symbols" w:hAnsi="Noto Sans Symbols" w:cs="Noto Sans Symbols"/>
        <w:color w:val="3C6695"/>
        <w:sz w:val="20"/>
        <w:szCs w:val="20"/>
      </w:rPr>
    </w:lvl>
    <w:lvl w:ilvl="1">
      <w:start w:val="1"/>
      <w:numFmt w:val="bullet"/>
      <w:lvlText w:val="•"/>
      <w:lvlJc w:val="left"/>
      <w:pPr>
        <w:ind w:left="576" w:hanging="164"/>
      </w:pPr>
    </w:lvl>
    <w:lvl w:ilvl="2">
      <w:start w:val="1"/>
      <w:numFmt w:val="bullet"/>
      <w:lvlText w:val="•"/>
      <w:lvlJc w:val="left"/>
      <w:pPr>
        <w:ind w:left="873" w:hanging="164"/>
      </w:pPr>
    </w:lvl>
    <w:lvl w:ilvl="3">
      <w:start w:val="1"/>
      <w:numFmt w:val="bullet"/>
      <w:lvlText w:val="•"/>
      <w:lvlJc w:val="left"/>
      <w:pPr>
        <w:ind w:left="1170" w:hanging="164"/>
      </w:pPr>
    </w:lvl>
    <w:lvl w:ilvl="4">
      <w:start w:val="1"/>
      <w:numFmt w:val="bullet"/>
      <w:lvlText w:val="•"/>
      <w:lvlJc w:val="left"/>
      <w:pPr>
        <w:ind w:left="1466" w:hanging="164"/>
      </w:pPr>
    </w:lvl>
    <w:lvl w:ilvl="5">
      <w:start w:val="1"/>
      <w:numFmt w:val="bullet"/>
      <w:lvlText w:val="•"/>
      <w:lvlJc w:val="left"/>
      <w:pPr>
        <w:ind w:left="1763" w:hanging="164"/>
      </w:pPr>
    </w:lvl>
    <w:lvl w:ilvl="6">
      <w:start w:val="1"/>
      <w:numFmt w:val="bullet"/>
      <w:lvlText w:val="•"/>
      <w:lvlJc w:val="left"/>
      <w:pPr>
        <w:ind w:left="2060" w:hanging="164"/>
      </w:pPr>
    </w:lvl>
    <w:lvl w:ilvl="7">
      <w:start w:val="1"/>
      <w:numFmt w:val="bullet"/>
      <w:lvlText w:val="•"/>
      <w:lvlJc w:val="left"/>
      <w:pPr>
        <w:ind w:left="2356" w:hanging="164"/>
      </w:pPr>
    </w:lvl>
    <w:lvl w:ilvl="8">
      <w:start w:val="1"/>
      <w:numFmt w:val="bullet"/>
      <w:lvlText w:val="•"/>
      <w:lvlJc w:val="left"/>
      <w:pPr>
        <w:ind w:left="2653" w:hanging="16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62"/>
    <w:rsid w:val="000D6883"/>
    <w:rsid w:val="00140927"/>
    <w:rsid w:val="00162DB2"/>
    <w:rsid w:val="0023006C"/>
    <w:rsid w:val="0023522D"/>
    <w:rsid w:val="00325D02"/>
    <w:rsid w:val="003F3D04"/>
    <w:rsid w:val="00503A84"/>
    <w:rsid w:val="005B1F70"/>
    <w:rsid w:val="00730E06"/>
    <w:rsid w:val="007B05E1"/>
    <w:rsid w:val="00867BF5"/>
    <w:rsid w:val="008802FE"/>
    <w:rsid w:val="009B2B66"/>
    <w:rsid w:val="00A27832"/>
    <w:rsid w:val="00A745ED"/>
    <w:rsid w:val="00AB1C20"/>
    <w:rsid w:val="00B92B37"/>
    <w:rsid w:val="00BA345E"/>
    <w:rsid w:val="00CB5B6D"/>
    <w:rsid w:val="00D11AAF"/>
    <w:rsid w:val="00E52E16"/>
    <w:rsid w:val="00E95962"/>
    <w:rsid w:val="00F06105"/>
    <w:rsid w:val="00F56ABA"/>
    <w:rsid w:val="00F7629E"/>
    <w:rsid w:val="00FA6BFC"/>
    <w:rsid w:val="00FC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6C1F"/>
  <w15:docId w15:val="{D8F91862-4673-AA4E-B204-A3B292D4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fr-CA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BodyA">
    <w:name w:val="Body A"/>
    <w:rsid w:val="00867BF5"/>
    <w:pPr>
      <w:widowControl/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eastAsia="Calibri"/>
      <w:color w:val="000000"/>
      <w:u w:color="000000"/>
      <w:bdr w:val="nil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Dansereau</dc:creator>
  <cp:lastModifiedBy>Jenn Power</cp:lastModifiedBy>
  <cp:revision>2</cp:revision>
  <dcterms:created xsi:type="dcterms:W3CDTF">2019-07-23T11:33:00Z</dcterms:created>
  <dcterms:modified xsi:type="dcterms:W3CDTF">2019-07-23T11:33:00Z</dcterms:modified>
</cp:coreProperties>
</file>